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A694" w14:textId="5DC9DFB9" w:rsidR="00955837" w:rsidRPr="00B52328" w:rsidRDefault="00290EEB" w:rsidP="00955837">
      <w:pPr>
        <w:jc w:val="center"/>
        <w:rPr>
          <w:rFonts w:ascii="Rubik" w:hAnsi="Rubik" w:cs="Rubik"/>
          <w:b/>
          <w:bCs/>
        </w:rPr>
      </w:pPr>
      <w:r w:rsidRPr="00B52328">
        <w:rPr>
          <w:noProof/>
        </w:rPr>
        <w:drawing>
          <wp:anchor distT="0" distB="0" distL="114300" distR="114300" simplePos="0" relativeHeight="251658240" behindDoc="1" locked="0" layoutInCell="1" allowOverlap="1" wp14:anchorId="47599451" wp14:editId="2CCFDE9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18285" cy="786765"/>
            <wp:effectExtent l="0" t="0" r="5715" b="0"/>
            <wp:wrapTight wrapText="bothSides">
              <wp:wrapPolygon edited="0">
                <wp:start x="0" y="0"/>
                <wp:lineTo x="0" y="20397"/>
                <wp:lineTo x="17345" y="20920"/>
                <wp:lineTo x="18429" y="20920"/>
                <wp:lineTo x="18700" y="20920"/>
                <wp:lineTo x="17616" y="16736"/>
                <wp:lineTo x="18971" y="9414"/>
                <wp:lineTo x="21410" y="7845"/>
                <wp:lineTo x="21410" y="0"/>
                <wp:lineTo x="0" y="0"/>
              </wp:wrapPolygon>
            </wp:wrapTight>
            <wp:docPr id="750367751" name="Picture 75036775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367751" name="Picture 1" descr="Blu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328">
        <w:rPr>
          <w:noProof/>
        </w:rPr>
        <w:drawing>
          <wp:anchor distT="0" distB="0" distL="114300" distR="114300" simplePos="0" relativeHeight="251658241" behindDoc="1" locked="0" layoutInCell="1" allowOverlap="1" wp14:anchorId="1F2665C5" wp14:editId="3DE7110B">
            <wp:simplePos x="0" y="0"/>
            <wp:positionH relativeFrom="column">
              <wp:posOffset>-683697</wp:posOffset>
            </wp:positionH>
            <wp:positionV relativeFrom="paragraph">
              <wp:posOffset>635</wp:posOffset>
            </wp:positionV>
            <wp:extent cx="953435" cy="95343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336359224" name="Picture 336359224" descr="A green door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359224" name="Picture 1" descr="A green door with blue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35" cy="95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37" w:rsidRPr="00B52328">
        <w:rPr>
          <w:rFonts w:ascii="Rubik" w:hAnsi="Rubik" w:cs="Rubik"/>
        </w:rPr>
        <w:t>“</w:t>
      </w:r>
      <w:r w:rsidR="00955837" w:rsidRPr="00B52328">
        <w:rPr>
          <w:rFonts w:ascii="Rubik" w:hAnsi="Rubik" w:cs="Rubik"/>
          <w:b/>
          <w:bCs/>
        </w:rPr>
        <w:t xml:space="preserve">No Wrong Doors for Young Carers” – </w:t>
      </w:r>
      <w:r w:rsidR="00A47F43" w:rsidRPr="00B52328">
        <w:rPr>
          <w:rFonts w:ascii="Rubik" w:hAnsi="Rubik" w:cs="Rubik"/>
          <w:b/>
          <w:bCs/>
        </w:rPr>
        <w:t>S</w:t>
      </w:r>
      <w:r w:rsidR="00955837" w:rsidRPr="00B52328">
        <w:rPr>
          <w:rFonts w:ascii="Rubik" w:hAnsi="Rubik" w:cs="Rubik"/>
          <w:b/>
          <w:bCs/>
        </w:rPr>
        <w:t xml:space="preserve">uggested </w:t>
      </w:r>
      <w:r w:rsidR="001D41FB">
        <w:rPr>
          <w:rFonts w:ascii="Rubik" w:hAnsi="Rubik" w:cs="Rubik"/>
          <w:b/>
          <w:bCs/>
        </w:rPr>
        <w:t>‘to-do list’</w:t>
      </w:r>
    </w:p>
    <w:p w14:paraId="50DF3862" w14:textId="2E878A3D" w:rsidR="00666ED2" w:rsidRPr="00B52328" w:rsidRDefault="001D41FB" w:rsidP="00666ED2">
      <w:pPr>
        <w:jc w:val="center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This tool provides a list of </w:t>
      </w:r>
      <w:r w:rsidR="0021585F">
        <w:rPr>
          <w:rFonts w:ascii="Rubik" w:hAnsi="Rubik" w:cs="Rubik"/>
          <w:sz w:val="24"/>
          <w:szCs w:val="24"/>
        </w:rPr>
        <w:t xml:space="preserve">suggested actions which can help implement “No Wrong Doors for Young Carers”. </w:t>
      </w:r>
      <w:r w:rsidR="006B3E4D" w:rsidRPr="00B52328">
        <w:rPr>
          <w:rFonts w:ascii="Rubik" w:hAnsi="Rubik" w:cs="Rubik"/>
          <w:sz w:val="24"/>
          <w:szCs w:val="24"/>
        </w:rPr>
        <w:t xml:space="preserve">Please use the space at the bottom to add </w:t>
      </w:r>
      <w:r w:rsidR="00666ED2" w:rsidRPr="00B52328">
        <w:rPr>
          <w:rFonts w:ascii="Rubik" w:hAnsi="Rubik" w:cs="Rubik"/>
          <w:sz w:val="24"/>
          <w:szCs w:val="24"/>
        </w:rPr>
        <w:t>y</w:t>
      </w:r>
      <w:r w:rsidR="006B3E4D" w:rsidRPr="00B52328">
        <w:rPr>
          <w:rFonts w:ascii="Rubik" w:hAnsi="Rubik" w:cs="Rubik"/>
          <w:sz w:val="24"/>
          <w:szCs w:val="24"/>
        </w:rPr>
        <w:t xml:space="preserve">our own actions based on </w:t>
      </w:r>
      <w:r>
        <w:rPr>
          <w:rFonts w:ascii="Rubik" w:hAnsi="Rubik" w:cs="Rubik"/>
          <w:sz w:val="24"/>
          <w:szCs w:val="24"/>
        </w:rPr>
        <w:t xml:space="preserve">your </w:t>
      </w:r>
      <w:r w:rsidR="006B3E4D" w:rsidRPr="00B52328">
        <w:rPr>
          <w:rFonts w:ascii="Rubik" w:hAnsi="Rubik" w:cs="Rubik"/>
          <w:sz w:val="24"/>
          <w:szCs w:val="24"/>
        </w:rPr>
        <w:t>local priorities/context</w:t>
      </w:r>
    </w:p>
    <w:tbl>
      <w:tblPr>
        <w:tblStyle w:val="TableGrid"/>
        <w:tblpPr w:leftFromText="180" w:rightFromText="180" w:vertAnchor="text" w:horzAnchor="page" w:tblpX="302" w:tblpY="1156"/>
        <w:tblW w:w="16155" w:type="dxa"/>
        <w:tblLook w:val="04A0" w:firstRow="1" w:lastRow="0" w:firstColumn="1" w:lastColumn="0" w:noHBand="0" w:noVBand="1"/>
      </w:tblPr>
      <w:tblGrid>
        <w:gridCol w:w="12186"/>
        <w:gridCol w:w="1701"/>
        <w:gridCol w:w="2268"/>
      </w:tblGrid>
      <w:tr w:rsidR="00955837" w:rsidRPr="00B52328" w14:paraId="41D76F04" w14:textId="77777777" w:rsidTr="00674FEA">
        <w:tc>
          <w:tcPr>
            <w:tcW w:w="12186" w:type="dxa"/>
          </w:tcPr>
          <w:p w14:paraId="026EF648" w14:textId="650BBE5D" w:rsidR="00955837" w:rsidRPr="00B52328" w:rsidRDefault="0020787B" w:rsidP="00373998">
            <w:pPr>
              <w:jc w:val="center"/>
              <w:rPr>
                <w:rFonts w:ascii="Rubik" w:hAnsi="Rubik" w:cs="Rubik"/>
                <w:b/>
                <w:bCs/>
              </w:rPr>
            </w:pPr>
            <w:r w:rsidRPr="00B52328">
              <w:rPr>
                <w:rFonts w:ascii="Rubik" w:hAnsi="Rubik" w:cs="Rubik"/>
                <w:b/>
                <w:bCs/>
              </w:rPr>
              <w:t>Action</w:t>
            </w:r>
          </w:p>
        </w:tc>
        <w:tc>
          <w:tcPr>
            <w:tcW w:w="1701" w:type="dxa"/>
          </w:tcPr>
          <w:p w14:paraId="75EAD170" w14:textId="7DE5185C" w:rsidR="00955837" w:rsidRPr="00B52328" w:rsidRDefault="0020787B" w:rsidP="00373998">
            <w:pPr>
              <w:jc w:val="center"/>
              <w:rPr>
                <w:rFonts w:ascii="Rubik" w:hAnsi="Rubik" w:cs="Rubik"/>
                <w:b/>
                <w:bCs/>
              </w:rPr>
            </w:pPr>
            <w:r w:rsidRPr="00B52328">
              <w:rPr>
                <w:rFonts w:ascii="Rubik" w:hAnsi="Rubik" w:cs="Rubik"/>
                <w:b/>
                <w:bCs/>
              </w:rPr>
              <w:t>Who?</w:t>
            </w:r>
          </w:p>
        </w:tc>
        <w:tc>
          <w:tcPr>
            <w:tcW w:w="2268" w:type="dxa"/>
          </w:tcPr>
          <w:p w14:paraId="4C71B91D" w14:textId="4B6A82F3" w:rsidR="00955837" w:rsidRPr="00B52328" w:rsidRDefault="0020787B" w:rsidP="00373998">
            <w:pPr>
              <w:jc w:val="center"/>
              <w:rPr>
                <w:rFonts w:ascii="Rubik" w:hAnsi="Rubik" w:cs="Rubik"/>
                <w:b/>
                <w:bCs/>
              </w:rPr>
            </w:pPr>
            <w:r w:rsidRPr="00B52328">
              <w:rPr>
                <w:rFonts w:ascii="Rubik" w:hAnsi="Rubik" w:cs="Rubik"/>
                <w:b/>
                <w:bCs/>
              </w:rPr>
              <w:t>When?</w:t>
            </w:r>
          </w:p>
        </w:tc>
      </w:tr>
      <w:tr w:rsidR="00955837" w:rsidRPr="00B52328" w14:paraId="1BEFD7B5" w14:textId="77777777" w:rsidTr="00674FEA">
        <w:tc>
          <w:tcPr>
            <w:tcW w:w="12186" w:type="dxa"/>
          </w:tcPr>
          <w:p w14:paraId="4BDD2F40" w14:textId="4AA8525A" w:rsidR="00955837" w:rsidRPr="00B52328" w:rsidRDefault="004B3614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Ensure young carers, young adult carers and the “No Wrong Doors for Young Carers” MoU</w:t>
            </w:r>
            <w:r w:rsidR="00373998" w:rsidRPr="00B52328">
              <w:rPr>
                <w:rFonts w:ascii="Rubik" w:hAnsi="Rubik" w:cs="Rubik"/>
              </w:rPr>
              <w:t xml:space="preserve"> and the legal duties</w:t>
            </w:r>
            <w:r w:rsidRPr="00B52328">
              <w:rPr>
                <w:rFonts w:ascii="Rubik" w:hAnsi="Rubik" w:cs="Rubik"/>
              </w:rPr>
              <w:t xml:space="preserve"> are reflected in Carers Strategy and Integrated Care Strategy</w:t>
            </w:r>
          </w:p>
        </w:tc>
        <w:tc>
          <w:tcPr>
            <w:tcW w:w="1701" w:type="dxa"/>
          </w:tcPr>
          <w:p w14:paraId="7F6A7D7E" w14:textId="77777777" w:rsidR="00955837" w:rsidRPr="00B52328" w:rsidRDefault="00955837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335D4369" w14:textId="77777777" w:rsidR="00955837" w:rsidRPr="00B52328" w:rsidRDefault="00955837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4B3614" w:rsidRPr="00B52328" w14:paraId="435C8BEB" w14:textId="77777777" w:rsidTr="00674FEA">
        <w:tc>
          <w:tcPr>
            <w:tcW w:w="12186" w:type="dxa"/>
          </w:tcPr>
          <w:p w14:paraId="5A9F3FA3" w14:textId="1FEEA318" w:rsidR="004B3614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Ensure the voices of young carers and young adult carers</w:t>
            </w:r>
            <w:r w:rsidR="00674FEA" w:rsidRPr="00B52328">
              <w:rPr>
                <w:rFonts w:ascii="Rubik" w:hAnsi="Rubik" w:cs="Rubik"/>
              </w:rPr>
              <w:t xml:space="preserve"> and local young carer support services</w:t>
            </w:r>
            <w:r w:rsidRPr="00B52328">
              <w:rPr>
                <w:rFonts w:ascii="Rubik" w:hAnsi="Rubik" w:cs="Rubik"/>
              </w:rPr>
              <w:t xml:space="preserve"> </w:t>
            </w:r>
            <w:r w:rsidR="00373998" w:rsidRPr="00B52328">
              <w:rPr>
                <w:rFonts w:ascii="Rubik" w:hAnsi="Rubik" w:cs="Rubik"/>
              </w:rPr>
              <w:t>are being heard in local</w:t>
            </w:r>
            <w:r w:rsidRPr="00B52328">
              <w:rPr>
                <w:rFonts w:ascii="Rubik" w:hAnsi="Rubik" w:cs="Rubik"/>
              </w:rPr>
              <w:t xml:space="preserve"> carer involvement initiatives and wider I</w:t>
            </w:r>
            <w:r w:rsidR="00373998" w:rsidRPr="00B52328">
              <w:rPr>
                <w:rFonts w:ascii="Rubik" w:hAnsi="Rubik" w:cs="Rubik"/>
              </w:rPr>
              <w:t>CS</w:t>
            </w:r>
            <w:r w:rsidR="00C56FF6" w:rsidRPr="00B52328">
              <w:rPr>
                <w:rFonts w:ascii="Rubik" w:hAnsi="Rubik" w:cs="Rubik"/>
              </w:rPr>
              <w:t xml:space="preserve"> strategic development.</w:t>
            </w:r>
          </w:p>
        </w:tc>
        <w:tc>
          <w:tcPr>
            <w:tcW w:w="1701" w:type="dxa"/>
          </w:tcPr>
          <w:p w14:paraId="2A5930E0" w14:textId="77777777" w:rsidR="004B3614" w:rsidRPr="00B52328" w:rsidRDefault="004B3614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3AB4C0FD" w14:textId="77777777" w:rsidR="004B3614" w:rsidRPr="00B52328" w:rsidRDefault="004B3614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7E7201" w:rsidRPr="00B52328" w14:paraId="1273E3D5" w14:textId="77777777" w:rsidTr="00674FEA">
        <w:tc>
          <w:tcPr>
            <w:tcW w:w="12186" w:type="dxa"/>
          </w:tcPr>
          <w:p w14:paraId="6B1F02F0" w14:textId="3A71F832" w:rsidR="007E7201" w:rsidRPr="00B52328" w:rsidRDefault="007E7201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Create/refresh a local plan for proactively promoting carer, and young carer-friendly communities</w:t>
            </w:r>
          </w:p>
        </w:tc>
        <w:tc>
          <w:tcPr>
            <w:tcW w:w="1701" w:type="dxa"/>
          </w:tcPr>
          <w:p w14:paraId="1FC094FF" w14:textId="77777777" w:rsidR="007E7201" w:rsidRPr="00B52328" w:rsidRDefault="007E7201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3A20AC04" w14:textId="77777777" w:rsidR="007E7201" w:rsidRPr="00B52328" w:rsidRDefault="007E7201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02DBF3C8" w14:textId="77777777" w:rsidTr="00674FEA">
        <w:tc>
          <w:tcPr>
            <w:tcW w:w="12186" w:type="dxa"/>
          </w:tcPr>
          <w:p w14:paraId="0259D1AC" w14:textId="38322ACD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Set up multi-agency Young Carer strategic group</w:t>
            </w:r>
            <w:r w:rsidR="00EC5DF2" w:rsidRPr="00B52328">
              <w:rPr>
                <w:rFonts w:ascii="Rubik" w:hAnsi="Rubik" w:cs="Rubik"/>
              </w:rPr>
              <w:t>/No Wrong Doors implementation group</w:t>
            </w:r>
          </w:p>
        </w:tc>
        <w:tc>
          <w:tcPr>
            <w:tcW w:w="1701" w:type="dxa"/>
          </w:tcPr>
          <w:p w14:paraId="4ACD6A8E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457DB6D5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32CBF10D" w14:textId="77777777" w:rsidTr="00674FEA">
        <w:tc>
          <w:tcPr>
            <w:tcW w:w="12186" w:type="dxa"/>
          </w:tcPr>
          <w:p w14:paraId="6D90BC42" w14:textId="16D6AF2C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 xml:space="preserve">Review Young Carers Needs Assessments and Transitions Assessments processes, paperwork and practice to ensure they reflect legal </w:t>
            </w:r>
            <w:r w:rsidR="00110815" w:rsidRPr="00B52328">
              <w:rPr>
                <w:rFonts w:ascii="Rubik" w:hAnsi="Rubik" w:cs="Rubik"/>
              </w:rPr>
              <w:t>requirements</w:t>
            </w:r>
          </w:p>
        </w:tc>
        <w:tc>
          <w:tcPr>
            <w:tcW w:w="1701" w:type="dxa"/>
          </w:tcPr>
          <w:p w14:paraId="64932EAE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7D72A90A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626F779B" w14:textId="77777777" w:rsidTr="00674FEA">
        <w:tc>
          <w:tcPr>
            <w:tcW w:w="12186" w:type="dxa"/>
          </w:tcPr>
          <w:p w14:paraId="769DFCF5" w14:textId="7EB3E2DE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Create/update referral pathway</w:t>
            </w:r>
            <w:r w:rsidR="00362130" w:rsidRPr="00B52328">
              <w:rPr>
                <w:rFonts w:ascii="Rubik" w:hAnsi="Rubik" w:cs="Rubik"/>
              </w:rPr>
              <w:t xml:space="preserve"> </w:t>
            </w:r>
            <w:r w:rsidR="00362130" w:rsidRPr="00B52328">
              <w:rPr>
                <w:rFonts w:ascii="Rubik" w:hAnsi="Rubik" w:cs="Rubik"/>
              </w:rPr>
              <w:t>to ensure that there is access to information, assessment and preventative support from all parts of the system, including from the NHS and mental health services</w:t>
            </w:r>
            <w:r w:rsidR="00362130" w:rsidRPr="00B52328">
              <w:rPr>
                <w:rFonts w:ascii="Rubik" w:hAnsi="Rubik" w:cs="Rubik"/>
              </w:rPr>
              <w:t xml:space="preserve"> and the voluntary sector</w:t>
            </w:r>
          </w:p>
        </w:tc>
        <w:tc>
          <w:tcPr>
            <w:tcW w:w="1701" w:type="dxa"/>
          </w:tcPr>
          <w:p w14:paraId="25FE3F9D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25DB2036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2A5A2C89" w14:textId="77777777" w:rsidTr="00674FEA">
        <w:tc>
          <w:tcPr>
            <w:tcW w:w="12186" w:type="dxa"/>
          </w:tcPr>
          <w:p w14:paraId="534DE3EA" w14:textId="40688CC5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Review care needs/adult carer/other health assessments to ensure they ask about children</w:t>
            </w:r>
            <w:r w:rsidR="00362130" w:rsidRPr="00B52328">
              <w:rPr>
                <w:rFonts w:ascii="Rubik" w:hAnsi="Rubik" w:cs="Rubik"/>
              </w:rPr>
              <w:t xml:space="preserve"> and whether children have caring responsibilities</w:t>
            </w:r>
          </w:p>
        </w:tc>
        <w:tc>
          <w:tcPr>
            <w:tcW w:w="1701" w:type="dxa"/>
          </w:tcPr>
          <w:p w14:paraId="6E2D5F99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5DB95762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20B0FD5F" w14:textId="77777777" w:rsidTr="00674FEA">
        <w:tc>
          <w:tcPr>
            <w:tcW w:w="12186" w:type="dxa"/>
          </w:tcPr>
          <w:p w14:paraId="231061CE" w14:textId="30895D69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Implement programme of awareness-training for adult social care/health professionals</w:t>
            </w:r>
          </w:p>
        </w:tc>
        <w:tc>
          <w:tcPr>
            <w:tcW w:w="1701" w:type="dxa"/>
          </w:tcPr>
          <w:p w14:paraId="4684E783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73B277F6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6AD20C4B" w14:textId="77777777" w:rsidTr="00674FEA">
        <w:tc>
          <w:tcPr>
            <w:tcW w:w="12186" w:type="dxa"/>
          </w:tcPr>
          <w:p w14:paraId="36FAB8F3" w14:textId="20D1607C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Agree on audit/review process for No Wrong Doors for Young Carers implementation</w:t>
            </w:r>
          </w:p>
        </w:tc>
        <w:tc>
          <w:tcPr>
            <w:tcW w:w="1701" w:type="dxa"/>
          </w:tcPr>
          <w:p w14:paraId="4B960D21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5682966F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33C6C0A6" w14:textId="77777777" w:rsidTr="00674FEA">
        <w:tc>
          <w:tcPr>
            <w:tcW w:w="12186" w:type="dxa"/>
          </w:tcPr>
          <w:p w14:paraId="5FB4086F" w14:textId="3BE2C000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Liaise with hospital trust(s)</w:t>
            </w:r>
            <w:r w:rsidR="000859D7" w:rsidRPr="00B52328">
              <w:rPr>
                <w:rFonts w:ascii="Rubik" w:hAnsi="Rubik" w:cs="Rubik"/>
              </w:rPr>
              <w:t xml:space="preserve"> (including </w:t>
            </w:r>
            <w:r w:rsidR="003758F6" w:rsidRPr="00B52328">
              <w:rPr>
                <w:rFonts w:ascii="Rubik" w:hAnsi="Rubik" w:cs="Rubik"/>
              </w:rPr>
              <w:t>mental health inpatient units)</w:t>
            </w:r>
            <w:r w:rsidRPr="00B52328">
              <w:rPr>
                <w:rFonts w:ascii="Rubik" w:hAnsi="Rubik" w:cs="Rubik"/>
              </w:rPr>
              <w:t xml:space="preserve"> to ensure they are aware of duty to consult young carers</w:t>
            </w:r>
            <w:r w:rsidR="003758F6" w:rsidRPr="00B52328">
              <w:rPr>
                <w:rFonts w:ascii="Rubik" w:hAnsi="Rubik" w:cs="Rubik"/>
              </w:rPr>
              <w:t xml:space="preserve"> around hospital discharge</w:t>
            </w:r>
          </w:p>
        </w:tc>
        <w:tc>
          <w:tcPr>
            <w:tcW w:w="1701" w:type="dxa"/>
          </w:tcPr>
          <w:p w14:paraId="18B464FD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5B930F81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38B08519" w14:textId="77777777" w:rsidTr="00674FEA">
        <w:tc>
          <w:tcPr>
            <w:tcW w:w="12186" w:type="dxa"/>
          </w:tcPr>
          <w:p w14:paraId="728EF1C9" w14:textId="7F4F8931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Share YCNV’s suggested wording for mental health service paperwork with local mental health trust</w:t>
            </w:r>
            <w:r w:rsidR="00C20A82" w:rsidRPr="00B52328">
              <w:rPr>
                <w:rFonts w:ascii="Rubik" w:hAnsi="Rubik" w:cs="Rubik"/>
              </w:rPr>
              <w:t xml:space="preserve"> (for both Adult Mental Health services and CAMHS)</w:t>
            </w:r>
          </w:p>
        </w:tc>
        <w:tc>
          <w:tcPr>
            <w:tcW w:w="1701" w:type="dxa"/>
          </w:tcPr>
          <w:p w14:paraId="70DE9CC9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2731B319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5273EDC6" w14:textId="77777777" w:rsidTr="00674FEA">
        <w:tc>
          <w:tcPr>
            <w:tcW w:w="12186" w:type="dxa"/>
          </w:tcPr>
          <w:p w14:paraId="4771A46B" w14:textId="68233A93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 xml:space="preserve">Review commissioning of relevant services to identify opportunities to include young carers </w:t>
            </w:r>
          </w:p>
        </w:tc>
        <w:tc>
          <w:tcPr>
            <w:tcW w:w="1701" w:type="dxa"/>
          </w:tcPr>
          <w:p w14:paraId="6DBD81B9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1A2682C8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534E12C2" w14:textId="77777777" w:rsidTr="00674FEA">
        <w:tc>
          <w:tcPr>
            <w:tcW w:w="12186" w:type="dxa"/>
          </w:tcPr>
          <w:p w14:paraId="3BE0AE3E" w14:textId="2A8B11D0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Explore opportunities for provision of whole-family support for young carers</w:t>
            </w:r>
          </w:p>
        </w:tc>
        <w:tc>
          <w:tcPr>
            <w:tcW w:w="1701" w:type="dxa"/>
          </w:tcPr>
          <w:p w14:paraId="358962AE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729B8519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5627E377" w14:textId="77777777" w:rsidTr="00674FEA">
        <w:tc>
          <w:tcPr>
            <w:tcW w:w="12186" w:type="dxa"/>
          </w:tcPr>
          <w:p w14:paraId="6BFE7C36" w14:textId="34372E6E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Liaise with Family Hub to ensure they are aware of young carers</w:t>
            </w:r>
          </w:p>
        </w:tc>
        <w:tc>
          <w:tcPr>
            <w:tcW w:w="1701" w:type="dxa"/>
          </w:tcPr>
          <w:p w14:paraId="1CF01848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41E054F4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179AB701" w14:textId="77777777" w:rsidTr="00674FEA">
        <w:tc>
          <w:tcPr>
            <w:tcW w:w="12186" w:type="dxa"/>
          </w:tcPr>
          <w:p w14:paraId="4E65D2F3" w14:textId="43FD11F2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Develop a data-sharing agreement to improve information-sharing across health, social care, education and voluntary sector</w:t>
            </w:r>
          </w:p>
        </w:tc>
        <w:tc>
          <w:tcPr>
            <w:tcW w:w="1701" w:type="dxa"/>
          </w:tcPr>
          <w:p w14:paraId="335A8580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32C05572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49C4AEA7" w14:textId="77777777" w:rsidTr="00674FEA">
        <w:tc>
          <w:tcPr>
            <w:tcW w:w="12186" w:type="dxa"/>
          </w:tcPr>
          <w:p w14:paraId="3666F76A" w14:textId="5EA63E8A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Review use of SNOMED codes in relation to young carers and young adult carers across Primary Care</w:t>
            </w:r>
          </w:p>
        </w:tc>
        <w:tc>
          <w:tcPr>
            <w:tcW w:w="1701" w:type="dxa"/>
          </w:tcPr>
          <w:p w14:paraId="272E69B6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3A9A3A8B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606D8CE7" w14:textId="77777777" w:rsidTr="00674FEA">
        <w:tc>
          <w:tcPr>
            <w:tcW w:w="12186" w:type="dxa"/>
          </w:tcPr>
          <w:p w14:paraId="2CD163D4" w14:textId="2ABA14DE" w:rsidR="00B5643E" w:rsidRPr="00B52328" w:rsidRDefault="00B5643E" w:rsidP="00373998">
            <w:pPr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Review specifications for commissioner carer support (young carers, young adult carers, adult carers) in light of the “No Wrong Doors for Young Carers” MoU and guidance</w:t>
            </w:r>
          </w:p>
        </w:tc>
        <w:tc>
          <w:tcPr>
            <w:tcW w:w="1701" w:type="dxa"/>
          </w:tcPr>
          <w:p w14:paraId="77EF7EB3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39DCA332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05D74DA5" w14:textId="77777777" w:rsidTr="00674FEA">
        <w:tc>
          <w:tcPr>
            <w:tcW w:w="12186" w:type="dxa"/>
          </w:tcPr>
          <w:p w14:paraId="2D57E72F" w14:textId="3FBF4F3B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Explore opportunities for improving data-sharing between children’s and adult services</w:t>
            </w:r>
          </w:p>
        </w:tc>
        <w:tc>
          <w:tcPr>
            <w:tcW w:w="1701" w:type="dxa"/>
          </w:tcPr>
          <w:p w14:paraId="204CC38D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3BF6CB05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2966FBED" w14:textId="77777777" w:rsidTr="00674FEA">
        <w:tc>
          <w:tcPr>
            <w:tcW w:w="12186" w:type="dxa"/>
          </w:tcPr>
          <w:p w14:paraId="64739C9D" w14:textId="286B424F" w:rsidR="00B5643E" w:rsidRPr="00B52328" w:rsidRDefault="000859D7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Review information on council/ICS websites in relation to young carers and young adult carers</w:t>
            </w:r>
            <w:r w:rsidR="00C500F3" w:rsidRPr="00B52328">
              <w:rPr>
                <w:rFonts w:ascii="Rubik" w:hAnsi="Rubik" w:cs="Rubik"/>
              </w:rPr>
              <w:t xml:space="preserve"> (including information for young adult carers as to how </w:t>
            </w:r>
            <w:r w:rsidR="006B3E4D" w:rsidRPr="00B52328">
              <w:rPr>
                <w:rFonts w:ascii="Rubik" w:hAnsi="Rubik" w:cs="Rubik"/>
              </w:rPr>
              <w:t>adult services differs from children’s services)</w:t>
            </w:r>
          </w:p>
        </w:tc>
        <w:tc>
          <w:tcPr>
            <w:tcW w:w="1701" w:type="dxa"/>
          </w:tcPr>
          <w:p w14:paraId="424C144B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7BB3523E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3913B022" w14:textId="77777777" w:rsidTr="00674FEA">
        <w:tc>
          <w:tcPr>
            <w:tcW w:w="12186" w:type="dxa"/>
          </w:tcPr>
          <w:p w14:paraId="3922593B" w14:textId="69BB2501" w:rsidR="00B5643E" w:rsidRPr="00B52328" w:rsidRDefault="003758F6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>Actively engage with and promote Young Carers Action Day</w:t>
            </w:r>
          </w:p>
        </w:tc>
        <w:tc>
          <w:tcPr>
            <w:tcW w:w="1701" w:type="dxa"/>
          </w:tcPr>
          <w:p w14:paraId="75C5EED1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4567C595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643E" w:rsidRPr="00B52328" w14:paraId="465DA10D" w14:textId="77777777" w:rsidTr="00674FEA">
        <w:tc>
          <w:tcPr>
            <w:tcW w:w="12186" w:type="dxa"/>
          </w:tcPr>
          <w:p w14:paraId="25E26C1B" w14:textId="3715335C" w:rsidR="00B5643E" w:rsidRPr="00B52328" w:rsidRDefault="00525C33" w:rsidP="0037399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</w:rPr>
              <w:t xml:space="preserve">Link in with any </w:t>
            </w:r>
            <w:r w:rsidRPr="00B52328">
              <w:rPr>
                <w:rFonts w:ascii="Rubik" w:hAnsi="Rubik" w:cs="Rubik"/>
              </w:rPr>
              <w:t>preventative services for children and their families, including Early Help</w:t>
            </w:r>
            <w:r w:rsidRPr="00B52328">
              <w:rPr>
                <w:rFonts w:ascii="Rubik" w:hAnsi="Rubik" w:cs="Rubik"/>
              </w:rPr>
              <w:t xml:space="preserve"> to ensure they</w:t>
            </w:r>
            <w:r w:rsidRPr="00B52328">
              <w:rPr>
                <w:rFonts w:ascii="Rubik" w:hAnsi="Rubik" w:cs="Rubik"/>
              </w:rPr>
              <w:t xml:space="preserve"> recognise the need for identification and support for young carers</w:t>
            </w:r>
          </w:p>
        </w:tc>
        <w:tc>
          <w:tcPr>
            <w:tcW w:w="1701" w:type="dxa"/>
          </w:tcPr>
          <w:p w14:paraId="7A5A211F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6EB58FE1" w14:textId="77777777" w:rsidR="00B5643E" w:rsidRPr="00B52328" w:rsidRDefault="00B5643E" w:rsidP="00373998">
            <w:pPr>
              <w:jc w:val="center"/>
              <w:rPr>
                <w:rFonts w:ascii="Rubik" w:hAnsi="Rubik" w:cs="Rubik"/>
              </w:rPr>
            </w:pPr>
          </w:p>
        </w:tc>
      </w:tr>
      <w:tr w:rsidR="00B52328" w:rsidRPr="00B52328" w14:paraId="0A5A3706" w14:textId="77777777" w:rsidTr="00674FEA">
        <w:tc>
          <w:tcPr>
            <w:tcW w:w="12186" w:type="dxa"/>
          </w:tcPr>
          <w:p w14:paraId="389891CB" w14:textId="6656896B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  <w:b/>
                <w:bCs/>
              </w:rPr>
              <w:lastRenderedPageBreak/>
              <w:t>Action</w:t>
            </w:r>
          </w:p>
        </w:tc>
        <w:tc>
          <w:tcPr>
            <w:tcW w:w="1701" w:type="dxa"/>
          </w:tcPr>
          <w:p w14:paraId="501DEF96" w14:textId="20E2C17D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  <w:b/>
                <w:bCs/>
              </w:rPr>
              <w:t>Who?</w:t>
            </w:r>
          </w:p>
        </w:tc>
        <w:tc>
          <w:tcPr>
            <w:tcW w:w="2268" w:type="dxa"/>
          </w:tcPr>
          <w:p w14:paraId="277D3B57" w14:textId="3625964D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  <w:r w:rsidRPr="00B52328">
              <w:rPr>
                <w:rFonts w:ascii="Rubik" w:hAnsi="Rubik" w:cs="Rubik"/>
                <w:b/>
                <w:bCs/>
              </w:rPr>
              <w:t>When?</w:t>
            </w:r>
          </w:p>
        </w:tc>
      </w:tr>
      <w:tr w:rsidR="00B52328" w:rsidRPr="00B52328" w14:paraId="0CBCBEE9" w14:textId="77777777" w:rsidTr="00674FEA">
        <w:tc>
          <w:tcPr>
            <w:tcW w:w="12186" w:type="dxa"/>
          </w:tcPr>
          <w:p w14:paraId="175B0B98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1701" w:type="dxa"/>
          </w:tcPr>
          <w:p w14:paraId="1AD88EC0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00E92F00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</w:tr>
      <w:tr w:rsidR="00B52328" w:rsidRPr="00B52328" w14:paraId="367D94A3" w14:textId="77777777" w:rsidTr="00674FEA">
        <w:tc>
          <w:tcPr>
            <w:tcW w:w="12186" w:type="dxa"/>
          </w:tcPr>
          <w:p w14:paraId="784F844F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1701" w:type="dxa"/>
          </w:tcPr>
          <w:p w14:paraId="1D93C895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4982B599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</w:tr>
      <w:tr w:rsidR="00B52328" w:rsidRPr="00B52328" w14:paraId="5C50CCBB" w14:textId="77777777" w:rsidTr="00674FEA">
        <w:tc>
          <w:tcPr>
            <w:tcW w:w="12186" w:type="dxa"/>
          </w:tcPr>
          <w:p w14:paraId="3A9D4404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1701" w:type="dxa"/>
          </w:tcPr>
          <w:p w14:paraId="3E472ABD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4B3F73F8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</w:tr>
      <w:tr w:rsidR="00B52328" w:rsidRPr="00B52328" w14:paraId="0E7B7F69" w14:textId="77777777" w:rsidTr="00674FEA">
        <w:tc>
          <w:tcPr>
            <w:tcW w:w="12186" w:type="dxa"/>
          </w:tcPr>
          <w:p w14:paraId="52389BD2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1701" w:type="dxa"/>
          </w:tcPr>
          <w:p w14:paraId="60BE9F54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0BF343C4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</w:tr>
      <w:tr w:rsidR="00B52328" w:rsidRPr="00B52328" w14:paraId="630CCE99" w14:textId="77777777" w:rsidTr="00674FEA">
        <w:tc>
          <w:tcPr>
            <w:tcW w:w="12186" w:type="dxa"/>
          </w:tcPr>
          <w:p w14:paraId="798E90E8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1701" w:type="dxa"/>
          </w:tcPr>
          <w:p w14:paraId="6D5A1DB3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35323AF6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</w:tr>
      <w:tr w:rsidR="00B52328" w:rsidRPr="00B52328" w14:paraId="2A0FFBF6" w14:textId="77777777" w:rsidTr="00674FEA">
        <w:tc>
          <w:tcPr>
            <w:tcW w:w="12186" w:type="dxa"/>
          </w:tcPr>
          <w:p w14:paraId="39185868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1701" w:type="dxa"/>
          </w:tcPr>
          <w:p w14:paraId="7604623A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2268" w:type="dxa"/>
          </w:tcPr>
          <w:p w14:paraId="213930C0" w14:textId="77777777" w:rsidR="00B52328" w:rsidRPr="00B52328" w:rsidRDefault="00B52328" w:rsidP="00B52328">
            <w:pPr>
              <w:jc w:val="center"/>
              <w:rPr>
                <w:rFonts w:ascii="Rubik" w:hAnsi="Rubik" w:cs="Rubik"/>
              </w:rPr>
            </w:pPr>
          </w:p>
        </w:tc>
      </w:tr>
    </w:tbl>
    <w:p w14:paraId="7AD43CF2" w14:textId="45DCD0CE" w:rsidR="000426D5" w:rsidRPr="00B52328" w:rsidRDefault="000426D5" w:rsidP="00665ED3">
      <w:pPr>
        <w:rPr>
          <w:rFonts w:ascii="Rubik" w:hAnsi="Rubik" w:cs="Rubik"/>
        </w:rPr>
      </w:pPr>
    </w:p>
    <w:sectPr w:rsidR="000426D5" w:rsidRPr="00B52328" w:rsidSect="0021585F">
      <w:pgSz w:w="16838" w:h="11906" w:orient="landscape"/>
      <w:pgMar w:top="284" w:right="39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7"/>
    <w:rsid w:val="000426D5"/>
    <w:rsid w:val="000859D7"/>
    <w:rsid w:val="000E417C"/>
    <w:rsid w:val="00110815"/>
    <w:rsid w:val="001D41FB"/>
    <w:rsid w:val="0020787B"/>
    <w:rsid w:val="0021585F"/>
    <w:rsid w:val="00290EEB"/>
    <w:rsid w:val="002D6EF0"/>
    <w:rsid w:val="00362130"/>
    <w:rsid w:val="00366114"/>
    <w:rsid w:val="00373998"/>
    <w:rsid w:val="003758F6"/>
    <w:rsid w:val="00421912"/>
    <w:rsid w:val="004355E4"/>
    <w:rsid w:val="004B3614"/>
    <w:rsid w:val="00525C33"/>
    <w:rsid w:val="00627099"/>
    <w:rsid w:val="00627EB7"/>
    <w:rsid w:val="00633321"/>
    <w:rsid w:val="00665ED3"/>
    <w:rsid w:val="00666ED2"/>
    <w:rsid w:val="00674FEA"/>
    <w:rsid w:val="006B3E4D"/>
    <w:rsid w:val="00722722"/>
    <w:rsid w:val="0075374B"/>
    <w:rsid w:val="007E7201"/>
    <w:rsid w:val="00875AB0"/>
    <w:rsid w:val="008A028F"/>
    <w:rsid w:val="00903BDB"/>
    <w:rsid w:val="00955837"/>
    <w:rsid w:val="009B40A5"/>
    <w:rsid w:val="00A47F43"/>
    <w:rsid w:val="00AC1E2B"/>
    <w:rsid w:val="00B52328"/>
    <w:rsid w:val="00B5643E"/>
    <w:rsid w:val="00C1751C"/>
    <w:rsid w:val="00C20A82"/>
    <w:rsid w:val="00C500F3"/>
    <w:rsid w:val="00C56FF6"/>
    <w:rsid w:val="00CE2640"/>
    <w:rsid w:val="00E44199"/>
    <w:rsid w:val="00EA0D28"/>
    <w:rsid w:val="00EA542B"/>
    <w:rsid w:val="00EC5DF2"/>
    <w:rsid w:val="316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801D"/>
  <w15:chartTrackingRefBased/>
  <w15:docId w15:val="{524A382B-EFC0-4A5C-B168-74E81738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8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8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8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8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8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8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8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8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8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8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8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8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58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8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8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58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58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58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8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58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58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58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58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58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8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8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583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5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a591c42-f103-4e94-b0a2-f5c6c6996d84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3ece1-b365-4511-a925-fb8a316b7eb2" xsi:nil="true"/>
    <lcf76f155ced4ddcb4097134ff3c332f xmlns="f8cd1418-2099-4e4a-9354-56f922426c0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7678C5B76E489E5835EC3C5F489B" ma:contentTypeVersion="19" ma:contentTypeDescription="Create a new document." ma:contentTypeScope="" ma:versionID="59af6ffcc353ab606f3234d695e4b704">
  <xsd:schema xmlns:xsd="http://www.w3.org/2001/XMLSchema" xmlns:xs="http://www.w3.org/2001/XMLSchema" xmlns:p="http://schemas.microsoft.com/office/2006/metadata/properties" xmlns:ns2="df03ece1-b365-4511-a925-fb8a316b7eb2" xmlns:ns3="f8cd1418-2099-4e4a-9354-56f922426c0b" xmlns:ns4="60b47cac-d386-4592-b311-0ab9f0c89672" targetNamespace="http://schemas.microsoft.com/office/2006/metadata/properties" ma:root="true" ma:fieldsID="b4ebdfdf20400bcd1b03505b22fac4ce" ns2:_="" ns3:_="" ns4:_="">
    <xsd:import namespace="df03ece1-b365-4511-a925-fb8a316b7eb2"/>
    <xsd:import namespace="f8cd1418-2099-4e4a-9354-56f922426c0b"/>
    <xsd:import namespace="60b47cac-d386-4592-b311-0ab9f0c8967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ece1-b365-4511-a925-fb8a316b7eb2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c3136911-1bf2-44cf-becb-a9a7cf246165}" ma:internalName="TaxCatchAll" ma:showField="CatchAllData" ma:web="60b47cac-d386-4592-b311-0ab9f0c89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c3136911-1bf2-44cf-becb-a9a7cf246165}" ma:internalName="TaxCatchAllLabel" ma:readOnly="true" ma:showField="CatchAllDataLabel" ma:web="60b47cac-d386-4592-b311-0ab9f0c89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d1418-2099-4e4a-9354-56f92242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a591c42-f103-4e94-b0a2-f5c6c6996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7cac-d386-4592-b311-0ab9f0c89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0D6A6-426F-47DC-BCFD-41E3CF348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22A1C-7D7A-43FA-AE67-E566D6F761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0556BF8-4327-48DB-A41D-7714498F469E}">
  <ds:schemaRefs>
    <ds:schemaRef ds:uri="http://schemas.microsoft.com/office/2006/metadata/properties"/>
    <ds:schemaRef ds:uri="http://schemas.microsoft.com/office/infopath/2007/PartnerControls"/>
    <ds:schemaRef ds:uri="df03ece1-b365-4511-a925-fb8a316b7eb2"/>
    <ds:schemaRef ds:uri="f8cd1418-2099-4e4a-9354-56f922426c0b"/>
  </ds:schemaRefs>
</ds:datastoreItem>
</file>

<file path=customXml/itemProps4.xml><?xml version="1.0" encoding="utf-8"?>
<ds:datastoreItem xmlns:ds="http://schemas.openxmlformats.org/officeDocument/2006/customXml" ds:itemID="{17395FC2-696E-410A-8D18-741E3E7A6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3ece1-b365-4511-a925-fb8a316b7eb2"/>
    <ds:schemaRef ds:uri="f8cd1418-2099-4e4a-9354-56f922426c0b"/>
    <ds:schemaRef ds:uri="60b47cac-d386-4592-b311-0ab9f0c89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McGowan</dc:creator>
  <cp:keywords/>
  <dc:description/>
  <cp:lastModifiedBy>Andy McGowan</cp:lastModifiedBy>
  <cp:revision>38</cp:revision>
  <dcterms:created xsi:type="dcterms:W3CDTF">2024-01-15T21:39:00Z</dcterms:created>
  <dcterms:modified xsi:type="dcterms:W3CDTF">2024-01-30T14:50:00Z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0x01010057E47678C5B76E489E5835EC3C5F489B</vt:lpwstr>
  </property>
  <property fmtid="{D5CDD505-2E9C-101B-9397-08002B2CF9AE}" pid="3" name="MediaServiceImageTags">
    <vt:lpwstr/>
  </property>
</Properties>
</file>